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3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24"/>
        <w:spacing w:before="100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5"/>
        </w:rPr>
        <w:t>附件</w:t>
      </w:r>
      <w:r>
        <w:rPr>
          <w:rFonts w:ascii="SimHei" w:hAnsi="SimHei" w:eastAsia="SimHei" w:cs="SimHei"/>
          <w:sz w:val="31"/>
          <w:szCs w:val="31"/>
          <w:spacing w:val="-6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5"/>
        </w:rPr>
        <w:t>3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ind w:left="646"/>
        <w:spacing w:before="140" w:line="605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3"/>
          <w:position w:val="3"/>
        </w:rPr>
        <w:t>河南省“人工智能+教育</w:t>
      </w:r>
      <w:r>
        <w:rPr>
          <w:rFonts w:ascii="SimSun" w:hAnsi="SimSun" w:eastAsia="SimSun" w:cs="SimSun"/>
          <w:sz w:val="43"/>
          <w:szCs w:val="43"/>
          <w:spacing w:val="-153"/>
          <w:position w:val="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3"/>
          <w:position w:val="3"/>
        </w:rPr>
        <w:t>”领航计划项目</w:t>
      </w:r>
    </w:p>
    <w:p>
      <w:pPr>
        <w:ind w:left="2763"/>
        <w:spacing w:before="63" w:line="606" w:lineRule="exact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1"/>
          <w:position w:val="3"/>
        </w:rPr>
        <w:t>管理办法（暂行）</w:t>
      </w:r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3558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第一章</w:t>
      </w:r>
      <w:r>
        <w:rPr>
          <w:rFonts w:ascii="SimHei" w:hAnsi="SimHei" w:eastAsia="SimHei" w:cs="SimHei"/>
          <w:sz w:val="31"/>
          <w:szCs w:val="31"/>
          <w:spacing w:val="22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总</w:t>
      </w:r>
      <w:r>
        <w:rPr>
          <w:rFonts w:ascii="SimHei" w:hAnsi="SimHei" w:eastAsia="SimHei" w:cs="SimHei"/>
          <w:sz w:val="31"/>
          <w:szCs w:val="31"/>
          <w:spacing w:val="25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则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1" w:right="16" w:firstLine="655"/>
        <w:spacing w:before="101" w:line="349" w:lineRule="auto"/>
        <w:rPr/>
      </w:pPr>
      <w:r>
        <w:rPr>
          <w:spacing w:val="17"/>
        </w:rPr>
        <w:t>第一条</w:t>
      </w:r>
      <w:r>
        <w:rPr>
          <w:spacing w:val="17"/>
        </w:rPr>
        <w:t xml:space="preserve"> </w:t>
      </w:r>
      <w:r>
        <w:rPr>
          <w:spacing w:val="17"/>
        </w:rPr>
        <w:t>为深入贯彻国家关于教育现代化和人工智能发展的</w:t>
      </w:r>
      <w:r>
        <w:rPr>
          <w:spacing w:val="6"/>
        </w:rPr>
        <w:t>战略部署，加快推进河南省“人工智能+教育”创新发展，省教育</w:t>
      </w:r>
      <w:r>
        <w:rPr>
          <w:spacing w:val="6"/>
        </w:rPr>
        <w:t>厅设立“人工智能+教育”领航计划。为保证项目实施质量，规范</w:t>
      </w:r>
      <w:r>
        <w:rPr>
          <w:spacing w:val="-7"/>
        </w:rPr>
        <w:t>经费使用，根据省财政厅、省教育厅有关规定，</w:t>
      </w:r>
      <w:r>
        <w:rPr>
          <w:spacing w:val="-8"/>
        </w:rPr>
        <w:t>特制定本管理办法。</w:t>
      </w:r>
    </w:p>
    <w:p>
      <w:pPr>
        <w:pStyle w:val="BodyText"/>
        <w:ind w:right="6" w:firstLine="657"/>
        <w:spacing w:before="5" w:line="348" w:lineRule="auto"/>
        <w:rPr/>
      </w:pPr>
      <w:r>
        <w:rPr>
          <w:spacing w:val="11"/>
        </w:rPr>
        <w:t>第二条</w:t>
      </w:r>
      <w:r>
        <w:rPr>
          <w:spacing w:val="11"/>
        </w:rPr>
        <w:t xml:space="preserve"> </w:t>
      </w:r>
      <w:r>
        <w:rPr>
          <w:spacing w:val="11"/>
        </w:rPr>
        <w:t>本办法适用于河南省所有参与“人工智能+教育”领</w:t>
      </w:r>
      <w:r>
        <w:rPr>
          <w:spacing w:val="-7"/>
        </w:rPr>
        <w:t>航计划项目的高校及其他相关单位（以下简称“项目责任单位”）。</w:t>
      </w:r>
    </w:p>
    <w:p>
      <w:pPr>
        <w:pStyle w:val="BodyText"/>
        <w:ind w:left="2" w:firstLine="654"/>
        <w:spacing w:before="7" w:line="348" w:lineRule="auto"/>
        <w:rPr/>
      </w:pPr>
      <w:r>
        <w:rPr>
          <w:spacing w:val="11"/>
        </w:rPr>
        <w:t>第三条</w:t>
      </w:r>
      <w:r>
        <w:rPr>
          <w:spacing w:val="11"/>
        </w:rPr>
        <w:t xml:space="preserve"> </w:t>
      </w:r>
      <w:r>
        <w:rPr>
          <w:spacing w:val="11"/>
        </w:rPr>
        <w:t>“人工智能+教育”领航计划项目旨在通过人工智能</w:t>
      </w:r>
      <w:r>
        <w:rPr>
          <w:spacing w:val="4"/>
        </w:rPr>
        <w:t>技术的深度应用，促进教育理念、教学内容</w:t>
      </w:r>
      <w:r>
        <w:rPr>
          <w:spacing w:val="3"/>
        </w:rPr>
        <w:t>、方法、模式的创新，</w:t>
      </w:r>
      <w:r>
        <w:rPr>
          <w:spacing w:val="7"/>
        </w:rPr>
        <w:t>构建智能化、个性化、终身化的教育体系。</w:t>
      </w:r>
    </w:p>
    <w:p>
      <w:pPr>
        <w:pStyle w:val="BodyText"/>
        <w:ind w:left="18" w:right="6" w:firstLine="638"/>
        <w:spacing w:line="350" w:lineRule="auto"/>
        <w:rPr/>
      </w:pPr>
      <w:r>
        <w:rPr>
          <w:spacing w:val="-6"/>
        </w:rPr>
        <w:t>第四条</w:t>
      </w:r>
      <w:r>
        <w:rPr>
          <w:spacing w:val="-6"/>
        </w:rPr>
        <w:t xml:space="preserve"> </w:t>
      </w:r>
      <w:r>
        <w:rPr>
          <w:spacing w:val="-6"/>
        </w:rPr>
        <w:t>项目建设遵循“需求导向、创新驱动、协同推进、注重</w:t>
      </w:r>
      <w:r>
        <w:rPr>
          <w:spacing w:val="3"/>
        </w:rPr>
        <w:t>实效”的原则，确保项目高质量实施，有效推动教育数字</w:t>
      </w:r>
      <w:r>
        <w:rPr>
          <w:spacing w:val="2"/>
        </w:rPr>
        <w:t>化转型。</w:t>
      </w:r>
    </w:p>
    <w:p>
      <w:pPr>
        <w:ind w:left="3318"/>
        <w:spacing w:before="150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第二章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项目管理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3" w:right="83" w:firstLine="655"/>
        <w:spacing w:before="102" w:line="349" w:lineRule="auto"/>
        <w:rPr/>
      </w:pPr>
      <w:r>
        <w:rPr>
          <w:spacing w:val="3"/>
        </w:rPr>
        <w:t>第五条</w:t>
      </w:r>
      <w:r>
        <w:rPr>
          <w:spacing w:val="68"/>
        </w:rPr>
        <w:t xml:space="preserve"> </w:t>
      </w:r>
      <w:r>
        <w:rPr>
          <w:spacing w:val="3"/>
        </w:rPr>
        <w:t>申报主体为高校或教育行政部门，并鼓励</w:t>
      </w:r>
      <w:r>
        <w:rPr>
          <w:spacing w:val="2"/>
        </w:rPr>
        <w:t>其与科研院</w:t>
      </w:r>
      <w:r>
        <w:rPr>
          <w:spacing w:val="8"/>
        </w:rPr>
        <w:t>所、人工智能优势企业等联合申报。</w:t>
      </w:r>
    </w:p>
    <w:p>
      <w:pPr>
        <w:spacing w:line="349" w:lineRule="auto"/>
        <w:sectPr>
          <w:footerReference w:type="default" r:id="rId1"/>
          <w:pgSz w:w="11906" w:h="16838"/>
          <w:pgMar w:top="1431" w:right="1264" w:bottom="1776" w:left="1541" w:header="0" w:footer="1385" w:gutter="0"/>
        </w:sectPr>
        <w:rPr/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38" w:right="21" w:firstLine="620"/>
        <w:spacing w:before="100" w:line="348" w:lineRule="auto"/>
        <w:rPr/>
      </w:pPr>
      <w:r>
        <w:rPr>
          <w:spacing w:val="3"/>
        </w:rPr>
        <w:t>第六条</w:t>
      </w:r>
      <w:r>
        <w:rPr>
          <w:spacing w:val="3"/>
        </w:rPr>
        <w:t xml:space="preserve"> </w:t>
      </w:r>
      <w:r>
        <w:rPr>
          <w:spacing w:val="3"/>
        </w:rPr>
        <w:t>每位项目负责人只能申报</w:t>
      </w:r>
      <w:r>
        <w:rPr>
          <w:spacing w:val="-36"/>
        </w:rPr>
        <w:t xml:space="preserve"> </w:t>
      </w:r>
      <w:r>
        <w:rPr>
          <w:spacing w:val="3"/>
        </w:rPr>
        <w:t>1</w:t>
      </w:r>
      <w:r>
        <w:rPr>
          <w:spacing w:val="-59"/>
        </w:rPr>
        <w:t xml:space="preserve"> </w:t>
      </w:r>
      <w:r>
        <w:rPr>
          <w:spacing w:val="3"/>
        </w:rPr>
        <w:t>个项目，项目负责人若有</w:t>
      </w:r>
      <w:r>
        <w:rPr>
          <w:spacing w:val="7"/>
        </w:rPr>
        <w:t>尚未结项的教育信息化类项目，不应参与申报。</w:t>
      </w:r>
    </w:p>
    <w:p>
      <w:pPr>
        <w:pStyle w:val="BodyText"/>
        <w:ind w:left="5" w:right="15" w:firstLine="654"/>
        <w:spacing w:before="3" w:line="350" w:lineRule="auto"/>
        <w:rPr/>
      </w:pPr>
      <w:r>
        <w:rPr>
          <w:spacing w:val="5"/>
        </w:rPr>
        <w:t>第七条</w:t>
      </w:r>
      <w:r>
        <w:rPr>
          <w:spacing w:val="5"/>
        </w:rPr>
        <w:t xml:space="preserve"> </w:t>
      </w:r>
      <w:r>
        <w:rPr>
          <w:spacing w:val="5"/>
        </w:rPr>
        <w:t>项目评审坚持公平、公正、公开原则，采用专家评审</w:t>
      </w:r>
      <w:r>
        <w:rPr>
          <w:spacing w:val="12"/>
        </w:rPr>
        <w:t>与实地考察相结合的方式。评审专家组由教育、信息技术、财务</w:t>
      </w:r>
      <w:r>
        <w:rPr>
          <w:spacing w:val="12"/>
        </w:rPr>
        <w:t>等领域的专家组成，负责对项目的创新性、可行性、预期效益等</w:t>
      </w:r>
      <w:r>
        <w:rPr>
          <w:spacing w:val="2"/>
        </w:rPr>
        <w:t>进行综合评审。</w:t>
      </w:r>
    </w:p>
    <w:p>
      <w:pPr>
        <w:pStyle w:val="BodyText"/>
        <w:ind w:left="17" w:right="19" w:firstLine="642"/>
        <w:spacing w:line="349" w:lineRule="auto"/>
        <w:rPr/>
      </w:pPr>
      <w:r>
        <w:rPr>
          <w:spacing w:val="5"/>
        </w:rPr>
        <w:t>第八条</w:t>
      </w:r>
      <w:r>
        <w:rPr>
          <w:spacing w:val="5"/>
        </w:rPr>
        <w:t xml:space="preserve"> </w:t>
      </w:r>
      <w:r>
        <w:rPr>
          <w:spacing w:val="5"/>
        </w:rPr>
        <w:t>评审结果经省教育厅审定后，正式公布立项名单，并</w:t>
      </w:r>
      <w:r>
        <w:rPr>
          <w:spacing w:val="11"/>
        </w:rPr>
        <w:t>与项目责任单位签订项目任务书，明确项目目标、任务、进度、</w:t>
      </w:r>
      <w:r>
        <w:rPr>
          <w:spacing w:val="5"/>
        </w:rPr>
        <w:t>预算及考核要求。</w:t>
      </w:r>
    </w:p>
    <w:p>
      <w:pPr>
        <w:pStyle w:val="BodyText"/>
        <w:ind w:left="5" w:firstLine="654"/>
        <w:spacing w:before="2" w:line="349" w:lineRule="auto"/>
        <w:rPr/>
      </w:pPr>
      <w:r>
        <w:rPr>
          <w:spacing w:val="3"/>
        </w:rPr>
        <w:t>第九条</w:t>
      </w:r>
      <w:r>
        <w:rPr>
          <w:spacing w:val="3"/>
        </w:rPr>
        <w:t xml:space="preserve"> </w:t>
      </w:r>
      <w:r>
        <w:rPr>
          <w:spacing w:val="3"/>
        </w:rPr>
        <w:t>项目周期。项目建设周期为</w:t>
      </w:r>
      <w:r>
        <w:rPr>
          <w:spacing w:val="-34"/>
        </w:rPr>
        <w:t xml:space="preserve"> </w:t>
      </w:r>
      <w:r>
        <w:rPr>
          <w:spacing w:val="3"/>
        </w:rPr>
        <w:t>1</w:t>
      </w:r>
      <w:r>
        <w:rPr>
          <w:spacing w:val="-59"/>
        </w:rPr>
        <w:t xml:space="preserve"> </w:t>
      </w:r>
      <w:r>
        <w:rPr>
          <w:spacing w:val="3"/>
        </w:rPr>
        <w:t>年，须在项目申报书明</w:t>
      </w:r>
      <w:r>
        <w:rPr>
          <w:spacing w:val="12"/>
        </w:rPr>
        <w:t>确的完成期限前完成结项验收。项目一经立项批准，原则上不得</w:t>
      </w:r>
      <w:r>
        <w:rPr>
          <w:spacing w:val="1"/>
        </w:rPr>
        <w:t>调整负责人、变更建设目标。在项目建设期间，项目责任单位和项</w:t>
      </w:r>
      <w:r>
        <w:rPr>
          <w:spacing w:val="7"/>
        </w:rPr>
        <w:t>目负责人要遵守各项承诺，履行约定义务，按</w:t>
      </w:r>
      <w:r>
        <w:rPr>
          <w:spacing w:val="6"/>
        </w:rPr>
        <w:t>期完成建设任务。</w:t>
      </w:r>
    </w:p>
    <w:p>
      <w:pPr>
        <w:pStyle w:val="BodyText"/>
        <w:ind w:right="15" w:firstLine="659"/>
        <w:spacing w:before="5" w:line="349" w:lineRule="auto"/>
        <w:rPr/>
      </w:pPr>
      <w:r>
        <w:rPr>
          <w:spacing w:val="5"/>
        </w:rPr>
        <w:t>第十条</w:t>
      </w:r>
      <w:r>
        <w:rPr>
          <w:spacing w:val="5"/>
        </w:rPr>
        <w:t xml:space="preserve"> </w:t>
      </w:r>
      <w:r>
        <w:rPr>
          <w:spacing w:val="5"/>
        </w:rPr>
        <w:t>项目验收。教育厅统一组织专家进行项目中期评估和</w:t>
      </w:r>
      <w:r>
        <w:rPr>
          <w:spacing w:val="12"/>
        </w:rPr>
        <w:t>结项验收。中期评估不合格且未能按要求完成整改的项目，将撤</w:t>
      </w:r>
      <w:r>
        <w:rPr>
          <w:spacing w:val="12"/>
        </w:rPr>
        <w:t>销领航计划项目立项。项目负责人应在项目完成期限到期前提交</w:t>
      </w:r>
      <w:r>
        <w:rPr>
          <w:spacing w:val="12"/>
        </w:rPr>
        <w:t>验收申请，经所在学校同意后报省教育厅，同时提交完整的验收</w:t>
      </w:r>
      <w:r>
        <w:rPr>
          <w:spacing w:val="-8"/>
        </w:rPr>
        <w:t>材料。</w:t>
      </w:r>
    </w:p>
    <w:p>
      <w:pPr>
        <w:pStyle w:val="BodyText"/>
        <w:ind w:left="659"/>
        <w:spacing w:before="4" w:line="219" w:lineRule="auto"/>
        <w:rPr/>
      </w:pPr>
      <w:r>
        <w:rPr>
          <w:spacing w:val="8"/>
        </w:rPr>
        <w:t>第十一条</w:t>
      </w:r>
      <w:r>
        <w:rPr>
          <w:spacing w:val="8"/>
        </w:rPr>
        <w:t xml:space="preserve"> </w:t>
      </w:r>
      <w:r>
        <w:rPr>
          <w:spacing w:val="8"/>
        </w:rPr>
        <w:t>下列情况，不得通过项目结项验收：</w:t>
      </w:r>
    </w:p>
    <w:p>
      <w:pPr>
        <w:pStyle w:val="BodyText"/>
        <w:ind w:left="663"/>
        <w:spacing w:before="217" w:line="219" w:lineRule="auto"/>
        <w:rPr/>
      </w:pPr>
      <w:r>
        <w:rPr>
          <w:spacing w:val="4"/>
        </w:rPr>
        <w:t>1.未完成项目申报书规定的计划任务；</w:t>
      </w:r>
    </w:p>
    <w:p>
      <w:pPr>
        <w:pStyle w:val="BodyText"/>
        <w:ind w:left="655"/>
        <w:spacing w:before="221" w:line="219" w:lineRule="auto"/>
        <w:rPr/>
      </w:pPr>
      <w:r>
        <w:rPr>
          <w:spacing w:val="8"/>
        </w:rPr>
        <w:t>2.预期成果未能实现，成果已无科学或实用价值；</w:t>
      </w:r>
    </w:p>
    <w:p>
      <w:pPr>
        <w:pStyle w:val="BodyText"/>
        <w:ind w:left="668"/>
        <w:spacing w:before="221" w:line="218" w:lineRule="auto"/>
        <w:rPr/>
      </w:pPr>
      <w:r>
        <w:rPr>
          <w:spacing w:val="6"/>
        </w:rPr>
        <w:t>3.提供的总结验收文件、资料、数据等不完整、不真实；</w:t>
      </w:r>
    </w:p>
    <w:p>
      <w:pPr>
        <w:spacing w:line="218" w:lineRule="auto"/>
        <w:sectPr>
          <w:footerReference w:type="default" r:id="rId2"/>
          <w:pgSz w:w="11906" w:h="16838"/>
          <w:pgMar w:top="1431" w:right="1328" w:bottom="1776" w:left="1538" w:header="0" w:footer="1385" w:gutter="0"/>
        </w:sectPr>
        <w:rPr/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pStyle w:val="BodyText"/>
        <w:ind w:left="653"/>
        <w:spacing w:before="101" w:line="219" w:lineRule="auto"/>
        <w:rPr/>
      </w:pPr>
      <w:r>
        <w:rPr>
          <w:spacing w:val="7"/>
        </w:rPr>
        <w:t>4.技术成果有严重知识产权纠纷；</w:t>
      </w:r>
    </w:p>
    <w:p>
      <w:pPr>
        <w:pStyle w:val="BodyText"/>
        <w:ind w:left="658"/>
        <w:spacing w:before="220" w:line="219" w:lineRule="auto"/>
        <w:rPr/>
      </w:pPr>
      <w:r>
        <w:rPr>
          <w:spacing w:val="7"/>
        </w:rPr>
        <w:t>5.其他不符合结项验收的情况。</w:t>
      </w:r>
    </w:p>
    <w:p>
      <w:pPr>
        <w:pStyle w:val="BodyText"/>
        <w:ind w:left="6" w:right="87" w:firstLine="639"/>
        <w:spacing w:before="218" w:line="349" w:lineRule="auto"/>
        <w:rPr/>
      </w:pPr>
      <w:r>
        <w:rPr>
          <w:spacing w:val="25"/>
        </w:rPr>
        <w:t>项目验收不合格或被撤销立项的项目责任单位和项目负责</w:t>
      </w:r>
      <w:r>
        <w:rPr>
          <w:spacing w:val="6"/>
        </w:rPr>
        <w:t>人，3</w:t>
      </w:r>
      <w:r>
        <w:rPr>
          <w:spacing w:val="-45"/>
        </w:rPr>
        <w:t xml:space="preserve"> </w:t>
      </w:r>
      <w:r>
        <w:rPr>
          <w:spacing w:val="6"/>
        </w:rPr>
        <w:t>年内不得申报省教育厅“人工智能+教育”领航计划项目。</w:t>
      </w:r>
    </w:p>
    <w:p>
      <w:pPr>
        <w:ind w:left="2839"/>
        <w:spacing w:before="14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第三章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资金管理与监督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ind w:right="91" w:firstLine="658"/>
        <w:spacing w:before="101" w:line="350" w:lineRule="auto"/>
        <w:rPr/>
      </w:pPr>
      <w:r>
        <w:rPr>
          <w:spacing w:val="11"/>
        </w:rPr>
        <w:t>第十二条</w:t>
      </w:r>
      <w:r>
        <w:rPr>
          <w:spacing w:val="11"/>
        </w:rPr>
        <w:t xml:space="preserve"> </w:t>
      </w:r>
      <w:r>
        <w:rPr>
          <w:spacing w:val="11"/>
        </w:rPr>
        <w:t>项目责任单位应对已立项的“人工智能+教育”领</w:t>
      </w:r>
      <w:r>
        <w:rPr>
          <w:spacing w:val="12"/>
        </w:rPr>
        <w:t>航计划项目提供必要的条件保障，在建设周期</w:t>
      </w:r>
      <w:r>
        <w:rPr>
          <w:spacing w:val="11"/>
        </w:rPr>
        <w:t>内安排相应预算，</w:t>
      </w:r>
      <w:r>
        <w:rPr>
          <w:spacing w:val="12"/>
        </w:rPr>
        <w:t>保障项目按期完成。省教育厅对于建设成效突出、示范作用显著</w:t>
      </w:r>
      <w:r>
        <w:rPr>
          <w:spacing w:val="8"/>
        </w:rPr>
        <w:t>的项目予以奖补资金。</w:t>
      </w:r>
    </w:p>
    <w:p>
      <w:pPr>
        <w:pStyle w:val="BodyText"/>
        <w:ind w:left="7" w:firstLine="650"/>
        <w:spacing w:before="1" w:line="349" w:lineRule="auto"/>
        <w:rPr/>
      </w:pPr>
      <w:r>
        <w:rPr>
          <w:spacing w:val="5"/>
        </w:rPr>
        <w:t>第十三条</w:t>
      </w:r>
      <w:r>
        <w:rPr>
          <w:spacing w:val="5"/>
        </w:rPr>
        <w:t xml:space="preserve"> </w:t>
      </w:r>
      <w:r>
        <w:rPr>
          <w:spacing w:val="5"/>
        </w:rPr>
        <w:t>项目责任单位是资金使用和管理的责任主体，项目</w:t>
      </w:r>
      <w:r>
        <w:rPr>
          <w:spacing w:val="12"/>
        </w:rPr>
        <w:t>负责人是项目资金使用的直接责任人，负责项目资金的</w:t>
      </w:r>
      <w:r>
        <w:rPr>
          <w:spacing w:val="11"/>
        </w:rPr>
        <w:t>具体使用</w:t>
      </w:r>
      <w:r>
        <w:rPr>
          <w:spacing w:val="12"/>
        </w:rPr>
        <w:t>和管理，对项目的真实性、合规性负责。依据相关法律</w:t>
      </w:r>
      <w:r>
        <w:rPr>
          <w:spacing w:val="11"/>
        </w:rPr>
        <w:t>法规和管</w:t>
      </w:r>
      <w:r>
        <w:rPr>
          <w:spacing w:val="12"/>
        </w:rPr>
        <w:t>理制度做好项目实施管理，严格执行财务规章制度和会</w:t>
      </w:r>
      <w:r>
        <w:rPr>
          <w:spacing w:val="11"/>
        </w:rPr>
        <w:t>计核算办</w:t>
      </w:r>
      <w:r>
        <w:rPr>
          <w:spacing w:val="4"/>
        </w:rPr>
        <w:t>法，认真做好项目的决算、绩效自评等工作，主动接受省财政</w:t>
      </w:r>
      <w:r>
        <w:rPr>
          <w:spacing w:val="3"/>
        </w:rPr>
        <w:t>厅、</w:t>
      </w:r>
      <w:r>
        <w:rPr>
          <w:spacing w:val="9"/>
        </w:rPr>
        <w:t>省教育厅对项目实施及资金管理情况的监管。</w:t>
      </w:r>
    </w:p>
    <w:p>
      <w:pPr>
        <w:pStyle w:val="BodyText"/>
        <w:ind w:left="2" w:right="13" w:firstLine="655"/>
        <w:spacing w:before="7" w:line="349" w:lineRule="auto"/>
        <w:rPr/>
      </w:pPr>
      <w:r>
        <w:rPr>
          <w:spacing w:val="17"/>
        </w:rPr>
        <w:t>第十四条</w:t>
      </w:r>
      <w:r>
        <w:rPr>
          <w:spacing w:val="17"/>
        </w:rPr>
        <w:t xml:space="preserve"> </w:t>
      </w:r>
      <w:r>
        <w:rPr>
          <w:spacing w:val="17"/>
        </w:rPr>
        <w:t>项目责任单位应当将项目资金纳入单位财务统一</w:t>
      </w:r>
      <w:r>
        <w:rPr>
          <w:spacing w:val="3"/>
        </w:rPr>
        <w:t>管理，明确内部管理权限和审批程序，对项目资金进行单独核算，</w:t>
      </w:r>
      <w:r>
        <w:rPr>
          <w:spacing w:val="3"/>
        </w:rPr>
        <w:t>确保资金使用安全、规范、有效。项目负责人应当结合项目需要，</w:t>
      </w:r>
      <w:r>
        <w:rPr>
          <w:spacing w:val="12"/>
        </w:rPr>
        <w:t>科学合理安排项目资金支出进度。项目责任单位应当关注项目资</w:t>
      </w:r>
      <w:r>
        <w:rPr>
          <w:spacing w:val="7"/>
        </w:rPr>
        <w:t>金执行进度，切实提高资金使用效益。</w:t>
      </w:r>
    </w:p>
    <w:p>
      <w:pPr>
        <w:pStyle w:val="BodyText"/>
        <w:ind w:left="658"/>
        <w:spacing w:before="4" w:line="219" w:lineRule="auto"/>
        <w:rPr/>
      </w:pPr>
      <w:r>
        <w:rPr>
          <w:spacing w:val="5"/>
        </w:rPr>
        <w:t>第十五条</w:t>
      </w:r>
      <w:r>
        <w:rPr>
          <w:spacing w:val="5"/>
        </w:rPr>
        <w:t xml:space="preserve"> </w:t>
      </w:r>
      <w:r>
        <w:rPr>
          <w:spacing w:val="5"/>
        </w:rPr>
        <w:t>立项的项目应当有明确的实施期限和具体、可考核</w:t>
      </w:r>
    </w:p>
    <w:p>
      <w:pPr>
        <w:spacing w:line="219" w:lineRule="auto"/>
        <w:sectPr>
          <w:footerReference w:type="default" r:id="rId3"/>
          <w:pgSz w:w="11906" w:h="16838"/>
          <w:pgMar w:top="1431" w:right="1252" w:bottom="1776" w:left="1539" w:header="0" w:footer="1385" w:gutter="0"/>
        </w:sectPr>
        <w:rPr/>
      </w:pP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5" w:lineRule="auto"/>
        <w:rPr>
          <w:rFonts w:ascii="Arial"/>
          <w:sz w:val="21"/>
        </w:rPr>
      </w:pPr>
      <w:r/>
    </w:p>
    <w:p>
      <w:pPr>
        <w:pStyle w:val="BodyText"/>
        <w:ind w:left="8" w:firstLine="18"/>
        <w:spacing w:before="101" w:line="349" w:lineRule="auto"/>
        <w:rPr/>
      </w:pPr>
      <w:r>
        <w:rPr>
          <w:spacing w:val="11"/>
        </w:rPr>
        <w:t>的绩效目标，能够清晰反映项目的预期产出和效果。项目预算绩</w:t>
      </w:r>
      <w:r>
        <w:rPr>
          <w:spacing w:val="3"/>
        </w:rPr>
        <w:t>效目标是预算执行、监督检查、项目验收和绩效评价的基本依据。</w:t>
      </w:r>
    </w:p>
    <w:p>
      <w:pPr>
        <w:pStyle w:val="BodyText"/>
        <w:ind w:right="18" w:firstLine="654"/>
        <w:spacing w:before="6" w:line="349" w:lineRule="auto"/>
        <w:rPr/>
      </w:pPr>
      <w:r>
        <w:rPr>
          <w:spacing w:val="7"/>
        </w:rPr>
        <w:t>第十六条</w:t>
      </w:r>
      <w:r>
        <w:rPr>
          <w:spacing w:val="7"/>
        </w:rPr>
        <w:t xml:space="preserve"> </w:t>
      </w:r>
      <w:r>
        <w:rPr>
          <w:spacing w:val="7"/>
        </w:rPr>
        <w:t>项目资金管理和使用应当严格执行有关法律法规、</w:t>
      </w:r>
      <w:r>
        <w:rPr>
          <w:spacing w:val="12"/>
        </w:rPr>
        <w:t>财务规章制度和本实施细则规定，接受财政、审计、监察等部门</w:t>
      </w:r>
      <w:r>
        <w:rPr>
          <w:spacing w:val="12"/>
        </w:rPr>
        <w:t>监督检查。严格实行专款专用，不得挤占和挪用，不得改变经费</w:t>
      </w:r>
      <w:r>
        <w:rPr>
          <w:spacing w:val="-10"/>
        </w:rPr>
        <w:t>用途。</w:t>
      </w:r>
    </w:p>
    <w:p>
      <w:pPr>
        <w:pStyle w:val="BodyText"/>
        <w:ind w:right="73" w:firstLine="654"/>
        <w:spacing w:before="2" w:line="349" w:lineRule="auto"/>
        <w:rPr/>
      </w:pPr>
      <w:r>
        <w:rPr>
          <w:spacing w:val="5"/>
        </w:rPr>
        <w:t>第十七条</w:t>
      </w:r>
      <w:r>
        <w:rPr>
          <w:spacing w:val="5"/>
        </w:rPr>
        <w:t xml:space="preserve"> </w:t>
      </w:r>
      <w:r>
        <w:rPr>
          <w:spacing w:val="5"/>
        </w:rPr>
        <w:t>项目资金实行“谁使用、谁负责”的责任机制，使</w:t>
      </w:r>
      <w:r>
        <w:rPr>
          <w:spacing w:val="12"/>
        </w:rPr>
        <w:t>用项目资金的部门、单位、个人，在资金使用过程中存在违法违</w:t>
      </w:r>
      <w:r>
        <w:rPr>
          <w:spacing w:val="1"/>
        </w:rPr>
        <w:t>规行为的，依照《中华人民共和国预算法》及其实施条例</w:t>
      </w:r>
      <w:r>
        <w:rPr/>
        <w:t>、《财政</w:t>
      </w:r>
      <w:r>
        <w:rPr>
          <w:spacing w:val="12"/>
        </w:rPr>
        <w:t>违法行为处罚处分条例》等国家有关规定追究相应责任，涉嫌犯</w:t>
      </w:r>
      <w:r>
        <w:rPr>
          <w:spacing w:val="8"/>
        </w:rPr>
        <w:t>罪的，依法移送有关机关处理。</w:t>
      </w:r>
    </w:p>
    <w:p>
      <w:pPr>
        <w:pStyle w:val="BodyText"/>
        <w:ind w:left="3" w:right="73" w:firstLine="650"/>
        <w:spacing w:before="4" w:line="349" w:lineRule="auto"/>
        <w:rPr/>
      </w:pPr>
      <w:r>
        <w:rPr>
          <w:spacing w:val="5"/>
        </w:rPr>
        <w:t>第十八条</w:t>
      </w:r>
      <w:r>
        <w:rPr>
          <w:spacing w:val="5"/>
        </w:rPr>
        <w:t xml:space="preserve"> </w:t>
      </w:r>
      <w:r>
        <w:rPr>
          <w:spacing w:val="5"/>
        </w:rPr>
        <w:t>资金绩效评价。项目完成后，项目责任单位需提交</w:t>
      </w:r>
      <w:r>
        <w:rPr>
          <w:spacing w:val="9"/>
        </w:rPr>
        <w:t>财务决算报告，</w:t>
      </w:r>
      <w:r>
        <w:rPr>
          <w:spacing w:val="-75"/>
        </w:rPr>
        <w:t xml:space="preserve"> </w:t>
      </w:r>
      <w:r>
        <w:rPr>
          <w:spacing w:val="9"/>
        </w:rPr>
        <w:t>因违规被终止经费支持的项目，项目责任单位需</w:t>
      </w:r>
      <w:r>
        <w:rPr>
          <w:spacing w:val="9"/>
        </w:rPr>
        <w:t>在规定时间内退还已拨付的经费，并承担相应责任。</w:t>
      </w:r>
    </w:p>
    <w:p>
      <w:pPr>
        <w:ind w:left="3634"/>
        <w:spacing w:before="147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第四章</w:t>
      </w:r>
      <w:r>
        <w:rPr>
          <w:rFonts w:ascii="SimHei" w:hAnsi="SimHei" w:eastAsia="SimHei" w:cs="SimHei"/>
          <w:sz w:val="31"/>
          <w:szCs w:val="31"/>
          <w:spacing w:val="40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1"/>
        </w:rPr>
        <w:t>附则</w:t>
      </w:r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spacing w:before="100" w:line="220" w:lineRule="auto"/>
        <w:jc w:val="right"/>
        <w:rPr/>
      </w:pPr>
      <w:r>
        <w:rPr>
          <w:spacing w:val="-7"/>
        </w:rPr>
        <w:t>第十九条</w:t>
      </w:r>
      <w:r>
        <w:rPr>
          <w:spacing w:val="-7"/>
        </w:rPr>
        <w:t xml:space="preserve"> </w:t>
      </w:r>
      <w:r>
        <w:rPr>
          <w:spacing w:val="-7"/>
        </w:rPr>
        <w:t>本办法自</w:t>
      </w:r>
      <w:r>
        <w:rPr>
          <w:spacing w:val="-49"/>
        </w:rPr>
        <w:t xml:space="preserve"> </w:t>
      </w:r>
      <w:r>
        <w:rPr>
          <w:spacing w:val="-7"/>
        </w:rPr>
        <w:t>2026</w:t>
      </w:r>
      <w:r>
        <w:rPr>
          <w:spacing w:val="-56"/>
        </w:rPr>
        <w:t xml:space="preserve"> </w:t>
      </w:r>
      <w:r>
        <w:rPr>
          <w:spacing w:val="-7"/>
        </w:rPr>
        <w:t>年</w:t>
      </w:r>
      <w:r>
        <w:rPr>
          <w:spacing w:val="-41"/>
        </w:rPr>
        <w:t xml:space="preserve"> </w:t>
      </w:r>
      <w:r>
        <w:rPr>
          <w:spacing w:val="-7"/>
        </w:rPr>
        <w:t>11</w:t>
      </w:r>
      <w:r>
        <w:rPr>
          <w:spacing w:val="-43"/>
        </w:rPr>
        <w:t xml:space="preserve"> </w:t>
      </w:r>
      <w:r>
        <w:rPr>
          <w:spacing w:val="-7"/>
        </w:rPr>
        <w:t>月</w:t>
      </w:r>
      <w:r>
        <w:rPr>
          <w:spacing w:val="-38"/>
        </w:rPr>
        <w:t xml:space="preserve"> </w:t>
      </w:r>
      <w:r>
        <w:rPr>
          <w:spacing w:val="-7"/>
        </w:rPr>
        <w:t>30</w:t>
      </w:r>
      <w:r>
        <w:rPr>
          <w:spacing w:val="-8"/>
        </w:rPr>
        <w:t xml:space="preserve"> </w:t>
      </w:r>
      <w:r>
        <w:rPr>
          <w:spacing w:val="-8"/>
        </w:rPr>
        <w:t>日起实施，试行期</w:t>
      </w:r>
      <w:r>
        <w:rPr>
          <w:spacing w:val="-41"/>
        </w:rPr>
        <w:t xml:space="preserve"> </w:t>
      </w:r>
      <w:r>
        <w:rPr>
          <w:spacing w:val="-8"/>
        </w:rPr>
        <w:t>1</w:t>
      </w:r>
      <w:r>
        <w:rPr>
          <w:spacing w:val="-58"/>
        </w:rPr>
        <w:t xml:space="preserve"> </w:t>
      </w:r>
      <w:r>
        <w:rPr>
          <w:spacing w:val="-8"/>
        </w:rPr>
        <w:t>年。</w:t>
      </w:r>
    </w:p>
    <w:p>
      <w:pPr>
        <w:pStyle w:val="BodyText"/>
        <w:ind w:left="654"/>
        <w:spacing w:before="219" w:line="219" w:lineRule="auto"/>
        <w:rPr/>
      </w:pPr>
      <w:r>
        <w:rPr>
          <w:spacing w:val="8"/>
        </w:rPr>
        <w:t>第二十条</w:t>
      </w:r>
      <w:r>
        <w:rPr>
          <w:spacing w:val="8"/>
        </w:rPr>
        <w:t xml:space="preserve"> </w:t>
      </w:r>
      <w:r>
        <w:rPr>
          <w:spacing w:val="8"/>
        </w:rPr>
        <w:t>本办法由河南省教育厅负责解释和修订。</w:t>
      </w:r>
    </w:p>
    <w:sectPr>
      <w:footerReference w:type="default" r:id="rId4"/>
      <w:pgSz w:w="11906" w:h="16838"/>
      <w:pgMar w:top="1431" w:right="1270" w:bottom="1776" w:left="1543" w:header="0" w:footer="1381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5"/>
      <w:spacing w:line="242" w:lineRule="auto"/>
      <w:rPr>
        <w:sz w:val="29"/>
        <w:szCs w:val="29"/>
      </w:rPr>
    </w:pPr>
    <w:r>
      <w:rPr>
        <w:sz w:val="29"/>
        <w:szCs w:val="29"/>
        <w:spacing w:val="-10"/>
      </w:rPr>
      <w:t>—</w:t>
    </w:r>
    <w:r>
      <w:rPr>
        <w:sz w:val="29"/>
        <w:szCs w:val="29"/>
        <w:spacing w:val="35"/>
      </w:rPr>
      <w:t xml:space="preserve"> </w:t>
    </w:r>
    <w:r>
      <w:rPr>
        <w:sz w:val="29"/>
        <w:szCs w:val="29"/>
        <w:spacing w:val="-10"/>
      </w:rPr>
      <w:t>18</w:t>
    </w:r>
    <w:r>
      <w:rPr>
        <w:sz w:val="29"/>
        <w:szCs w:val="29"/>
        <w:spacing w:val="33"/>
      </w:rPr>
      <w:t xml:space="preserve"> </w:t>
    </w:r>
    <w:r>
      <w:rPr>
        <w:sz w:val="29"/>
        <w:szCs w:val="29"/>
        <w:spacing w:val="-10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right="15"/>
      <w:spacing w:line="242" w:lineRule="auto"/>
      <w:jc w:val="right"/>
      <w:rPr>
        <w:sz w:val="29"/>
        <w:szCs w:val="29"/>
      </w:rPr>
    </w:pPr>
    <w:r>
      <w:rPr>
        <w:sz w:val="29"/>
        <w:szCs w:val="29"/>
        <w:spacing w:val="-10"/>
      </w:rPr>
      <w:t>—</w:t>
    </w:r>
    <w:r>
      <w:rPr>
        <w:sz w:val="29"/>
        <w:szCs w:val="29"/>
        <w:spacing w:val="35"/>
      </w:rPr>
      <w:t xml:space="preserve"> </w:t>
    </w:r>
    <w:r>
      <w:rPr>
        <w:sz w:val="29"/>
        <w:szCs w:val="29"/>
        <w:spacing w:val="-10"/>
      </w:rPr>
      <w:t>19</w:t>
    </w:r>
    <w:r>
      <w:rPr>
        <w:sz w:val="29"/>
        <w:szCs w:val="29"/>
        <w:spacing w:val="33"/>
      </w:rPr>
      <w:t xml:space="preserve"> </w:t>
    </w:r>
    <w:r>
      <w:rPr>
        <w:sz w:val="29"/>
        <w:szCs w:val="29"/>
        <w:spacing w:val="-10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17"/>
      <w:spacing w:line="242" w:lineRule="auto"/>
      <w:rPr>
        <w:sz w:val="29"/>
        <w:szCs w:val="29"/>
      </w:rPr>
    </w:pPr>
    <w:r>
      <w:rPr>
        <w:sz w:val="29"/>
        <w:szCs w:val="29"/>
        <w:spacing w:val="-8"/>
      </w:rPr>
      <w:t>—</w:t>
    </w:r>
    <w:r>
      <w:rPr>
        <w:sz w:val="29"/>
        <w:szCs w:val="29"/>
        <w:spacing w:val="27"/>
      </w:rPr>
      <w:t xml:space="preserve"> </w:t>
    </w:r>
    <w:r>
      <w:rPr>
        <w:sz w:val="29"/>
        <w:szCs w:val="29"/>
        <w:spacing w:val="-8"/>
      </w:rPr>
      <w:t>20</w:t>
    </w:r>
    <w:r>
      <w:rPr>
        <w:sz w:val="29"/>
        <w:szCs w:val="29"/>
        <w:spacing w:val="33"/>
      </w:rPr>
      <w:t xml:space="preserve"> </w:t>
    </w:r>
    <w:r>
      <w:rPr>
        <w:sz w:val="29"/>
        <w:szCs w:val="29"/>
        <w:spacing w:val="-8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827"/>
      <w:spacing w:line="385" w:lineRule="exact"/>
      <w:rPr>
        <w:sz w:val="29"/>
        <w:szCs w:val="29"/>
      </w:rPr>
    </w:pPr>
    <w:r>
      <w:rPr>
        <w:sz w:val="29"/>
        <w:szCs w:val="29"/>
        <w:spacing w:val="-8"/>
        <w:position w:val="1"/>
      </w:rPr>
      <w:t>—</w:t>
    </w:r>
    <w:r>
      <w:rPr>
        <w:sz w:val="29"/>
        <w:szCs w:val="29"/>
        <w:spacing w:val="27"/>
        <w:position w:val="1"/>
      </w:rPr>
      <w:t xml:space="preserve"> </w:t>
    </w:r>
    <w:r>
      <w:rPr>
        <w:sz w:val="29"/>
        <w:szCs w:val="29"/>
        <w:spacing w:val="-8"/>
        <w:position w:val="1"/>
      </w:rPr>
      <w:t>21</w:t>
    </w:r>
    <w:r>
      <w:rPr>
        <w:sz w:val="29"/>
        <w:szCs w:val="29"/>
        <w:spacing w:val="33"/>
        <w:position w:val="1"/>
      </w:rPr>
      <w:t xml:space="preserve"> </w:t>
    </w:r>
    <w:r>
      <w:rPr>
        <w:sz w:val="29"/>
        <w:szCs w:val="29"/>
        <w:spacing w:val="-8"/>
        <w:position w:val="1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文印员</dc:creator>
  <dcterms:created xsi:type="dcterms:W3CDTF">2026-10-22T06:45:23Z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2026-10-26T09:24:01</vt:filetime>
  </property>
</Properties>
</file>