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snapToGrid w:val="0"/>
        <w:ind w:firstLine="600" w:firstLineChars="200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</w:rPr>
        <w:t xml:space="preserve"> 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河南省教育科学规划202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年度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重大课题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选题</w:t>
      </w:r>
    </w:p>
    <w:tbl>
      <w:tblPr>
        <w:tblStyle w:val="4"/>
        <w:tblW w:w="9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rPr>
          <w:trHeight w:val="600" w:hRule="atLeast"/>
        </w:trPr>
        <w:tc>
          <w:tcPr>
            <w:tcW w:w="916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河南省“十五五”教育发展规划实施监测与动态调整研究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河南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/>
                <w:sz w:val="28"/>
                <w:szCs w:val="28"/>
              </w:rPr>
              <w:t>基础教育优质均衡发展的动力、机制与保障研究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数智时代基础教育学校人文生态构建研究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 中小学校园安全风险监测预警与应急管理体系研究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 综合高中高质量发展的制度供应研究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 大中小学一体化健康学校建设标准研究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 智能时代的学习方式变革研究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 生成式人工智能介入教育教学的风险识别与治理研究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 义务教育阶段思政一体化育人体系构建研究</w:t>
            </w:r>
          </w:p>
        </w:tc>
      </w:tr>
      <w:tr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10.教育大数据驱动下的学情精准分析与学业预警干预机制研究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11.“十五五”时期河南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/>
                <w:sz w:val="28"/>
                <w:szCs w:val="28"/>
              </w:rPr>
              <w:t>高等教育发展的机遇、挑战与应对研究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因地制宜分类推进河南省高校改革发展研究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13.“双优”工程引领下地方应用型高校高质量发展的困境和突破路径研究</w:t>
            </w:r>
          </w:p>
        </w:tc>
      </w:tr>
      <w:tr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14.河南省职业教育“新双高”建设路径与产教融合机制研究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15.河南省民办教育高质量发展的法治建设研究</w:t>
            </w:r>
          </w:p>
        </w:tc>
      </w:tr>
      <w:tr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16.河南省专门教育高质量发展的体制机制建设研究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60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A"/>
    <w:rsid w:val="0001375F"/>
    <w:rsid w:val="00146EA6"/>
    <w:rsid w:val="00387A29"/>
    <w:rsid w:val="003B696F"/>
    <w:rsid w:val="00456027"/>
    <w:rsid w:val="005007C2"/>
    <w:rsid w:val="00686255"/>
    <w:rsid w:val="008516A0"/>
    <w:rsid w:val="009D7A73"/>
    <w:rsid w:val="00A012BA"/>
    <w:rsid w:val="00A60988"/>
    <w:rsid w:val="00AA483F"/>
    <w:rsid w:val="00AB3C5E"/>
    <w:rsid w:val="00AC41C0"/>
    <w:rsid w:val="00AF5A30"/>
    <w:rsid w:val="00BD286E"/>
    <w:rsid w:val="00C26B33"/>
    <w:rsid w:val="00C45ED2"/>
    <w:rsid w:val="00D5617D"/>
    <w:rsid w:val="00EF58A7"/>
    <w:rsid w:val="0A355AF7"/>
    <w:rsid w:val="186B7BE4"/>
    <w:rsid w:val="19E8329E"/>
    <w:rsid w:val="1A850AEC"/>
    <w:rsid w:val="20B85EA6"/>
    <w:rsid w:val="40D50339"/>
    <w:rsid w:val="640E6996"/>
    <w:rsid w:val="6B5C4561"/>
    <w:rsid w:val="77A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406</Characters>
  <Lines>3</Lines>
  <Paragraphs>1</Paragraphs>
  <TotalTime>14</TotalTime>
  <ScaleCrop>false</ScaleCrop>
  <LinksUpToDate>false</LinksUpToDate>
  <CharactersWithSpaces>416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2023-08-02T08:16:00Z</dcterms:created>
  <dc:creator>Administrator</dc:creator>
  <cp:lastModifiedBy>吴玥</cp:lastModifiedBy>
  <cp:lastPrinted>2026-06-24T08:28:00Z</cp:lastPrinted>
  <dcterms:modified xsi:type="dcterms:W3CDTF">2026-07-07T02:54:08Z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2052-11.8.2.8988</vt:lpwstr>
  </property>
  <property fmtid="{D5CDD505-2E9C-101B-9397-08002B2CF9AE}" pid="4" name="ICV">
    <vt:lpwstr>BCE8E5C77FB64E008AE156622BF915FF_12</vt:lpwstr>
  </property>
</Properties>
</file>